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市场监督管理</w:t>
      </w:r>
      <w:r>
        <w:rPr>
          <w:rFonts w:hint="eastAsia" w:ascii="黑体" w:hAnsi="黑体" w:eastAsia="黑体" w:cs="黑体"/>
        </w:rPr>
        <w:t>局</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市场监督管理</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市场监督管理</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景德镇市市场监督管理</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hint="eastAsia" w:ascii="黑体" w:hAnsi="宋体" w:eastAsia="黑体" w:cs="黑体"/>
          <w:sz w:val="32"/>
          <w:szCs w:val="32"/>
        </w:rPr>
      </w:pPr>
    </w:p>
    <w:p>
      <w:pPr>
        <w:jc w:val="both"/>
        <w:rPr>
          <w:rFonts w:hint="eastAsia" w:ascii="黑体" w:hAnsi="宋体" w:eastAsia="黑体" w:cs="黑体"/>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市场监督管理</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widowControl/>
        <w:suppressLineNumbers w:val="0"/>
        <w:ind w:left="638" w:leftChars="304" w:firstLine="0" w:firstLineChars="0"/>
        <w:jc w:val="left"/>
        <w:rPr>
          <w:rFonts w:hint="eastAsia" w:ascii="仿宋_GB2312" w:hAnsi="仿宋_GB2312" w:eastAsia="仿宋_GB2312" w:cs="仿宋_GB2312"/>
        </w:rPr>
      </w:pPr>
      <w:r>
        <w:rPr>
          <w:rFonts w:hint="eastAsia" w:ascii="仿宋_GB2312" w:hAnsi="宋体" w:eastAsia="仿宋_GB2312" w:cs="仿宋_GB2312"/>
          <w:sz w:val="32"/>
          <w:szCs w:val="32"/>
          <w:lang w:eastAsia="zh-CN"/>
        </w:rPr>
        <w:t>景</w:t>
      </w:r>
      <w:r>
        <w:rPr>
          <w:rFonts w:hint="eastAsia" w:ascii="仿宋_GB2312" w:hAnsi="仿宋_GB2312" w:eastAsia="仿宋_GB2312" w:cs="仿宋_GB2312"/>
          <w:color w:val="000000"/>
          <w:kern w:val="0"/>
          <w:sz w:val="30"/>
          <w:szCs w:val="30"/>
          <w:lang w:val="en-US" w:eastAsia="zh-CN" w:bidi="ar"/>
        </w:rPr>
        <w:t>德镇市市场监督管理局为市政府工作部门，</w:t>
      </w:r>
      <w:r>
        <w:rPr>
          <w:rFonts w:hint="eastAsia" w:ascii="仿宋_GB2312" w:hAnsi="宋体" w:eastAsia="仿宋_GB2312" w:cs="仿宋_GB2312"/>
          <w:sz w:val="32"/>
          <w:szCs w:val="32"/>
        </w:rPr>
        <w:t>主要职责</w:t>
      </w:r>
      <w:r>
        <w:rPr>
          <w:rFonts w:hint="eastAsia" w:ascii="仿宋_GB2312" w:hAnsi="仿宋_GB2312" w:eastAsia="仿宋_GB2312" w:cs="仿宋_GB2312"/>
          <w:color w:val="000000"/>
          <w:kern w:val="0"/>
          <w:sz w:val="30"/>
          <w:szCs w:val="30"/>
          <w:lang w:val="en-US" w:eastAsia="zh-CN" w:bidi="ar"/>
        </w:rPr>
        <w:t xml:space="preserve">（一）负责市场综合监督管理。贯彻执行国家和省市场监督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管理的方针、政策和有关法律法规；制定有关政策、标准，组织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实施质量强市战略、食品药品安全战略、标准化战略和商标品牌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战略，拟订并组织实施有关规划，规范和维护市场秩序，营造诚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实守信、公平竞争的市场环境。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（二）负责市场主体统一登记注册。负责并指导全市各类企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业、农民专业合作社和从事经营活动的单位、个体工商户以及外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国（地区）企业常驻代表机构等市场主体的登记注册工作。建立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市场主体信息公示和共享机制，依法公示和共享有关信息，加强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信用监管，推动市场主体信用体系建设。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（三）负责指导和监督市场监管综合执法工作。指导县（市）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市场监管综合执法队伍整合和建设，推动实行统一的市场监管。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组织查处和督办重大违法案件。规范市场监管行政执法行为。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（四）依据授权，承担负责反垄断执法调查工作。统筹推进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竞争政策实施，组织实施公平竞争审查制度。依法依授权进行反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垄断调查及执法工作。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（五）负责监督管理市场秩序。依法监督管理市场交易、网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络商品交易及有关服务的行为。组织指导查处价格收费违法违规、 不正当竞争、违法直销、传销、侵犯商标专利知识产权和制售假 冒伪劣行为。指导广告业发展，监督管理广告活动。承担依法查 处无照生产经营和相关无证生产经营行为。营造安全放心的消费 环境，指导市消费者权益保护委员会开展消费维权工作。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（六）负责宏观质量管理。拟订并组织实施质量发展的制度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措施，会同有关部门组织实施重大工程设备质量监理制度，统筹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质量基础设施建设及应用。组织重大产品质量事故调查处理，落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实缺陷产品召回制度，监督管理产品防伪工作。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（七）负责产品质量安全监督管理。负责全市产品质量安全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风险监控、监督抽查工作。落实质量分级制度、质量安全追溯制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度。负责工业产品生产许可管理。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（八）负责特种设备安全监督管理。综合管理特种设备安全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监察、监督工作，监督检查高耗能特种设备节能标准和锅炉环境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保护标准的执行情况。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（九）负责食品安全监督管理综合协调。贯彻落实并组织实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施食品安全重大政策。负责食品安全应急体系建设，组织指导重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大食品安全事件应急处置和调查处理工作。健全落实食品安全重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要信息直报制度。承担市政府食品安全委员会日常工作。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（十）负责食品安全监督管理。建立覆盖食品生产、流通、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消费全过程的监督检查制度和隐患排查治理机制并组织实施，防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范区域性、系统性食品安全风险。推动建立食品生产经营者落实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主体责任的机制，健全食品安全追溯体系。组织实施开展食品安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全监督抽检、风险监测、核查处置和风险预警、风险交流工作。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组织实施特殊食品监督管理。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（十一）负责统一管理计量工作。推行并执行法定计量单位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和国家计量制度，管理计量器具及量值传递和比对工作。规范、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监督商品量和市场计量行为。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（十二）负责统一管理标准化工作。依法承担地方标准的立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项、编号和发布等工作。依法协调指导和监督地方标准、团体标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准制定工作。管理全市标准化技术委员会。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（十三）负责统一管理认证认可与检验检测工作。落实认证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认可与检验检测监督管理制度、措施，指导协调认证认可与检验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检测行业发展，依法监督管理认证认可与检验检测工作。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(十四)负责知识产权工作。拟订全市知识产权发展战略和加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强知识产权强市建设的发展规划并组织实施。负责保护知识产权， 组织实施并监督严格保护知识产权的制度，推动建设知识产权保 护体系。负责促进知识产权运用。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（十五）负责药品、医疗器械和化妆品经营、使用环节安全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监督管理。贯彻执行国家药品、医疗器械和化妆品安全监督管理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的法律法规和规章，负责药品、医疗器械和化妆品经营、使用环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节的标准管理、质量管理、上市后风险管理、不良反应监测、评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价和处置、安全应急管理和违法行为的查处工作。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（十六）承担陶瓷市场监管综合协调工作。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（十七）负责市场监督管理科技和信息化建设、新闻宣传。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（十八）完成市委、市政府交办的其他任务。 </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景德镇市市场监督管理</w:t>
      </w:r>
      <w:r>
        <w:rPr>
          <w:rFonts w:hint="eastAsia" w:ascii="仿宋_GB2312" w:hAnsi="宋体" w:eastAsia="仿宋_GB2312" w:cs="仿宋_GB2312"/>
          <w:sz w:val="32"/>
          <w:szCs w:val="32"/>
        </w:rPr>
        <w:t>局共有预算单位</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个，包括</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rPr>
        <w:t>本级和</w:t>
      </w:r>
      <w:r>
        <w:rPr>
          <w:rFonts w:hint="eastAsia" w:ascii="仿宋_GB2312" w:hAnsi="宋体" w:eastAsia="仿宋_GB2312" w:cs="仿宋_GB2312"/>
          <w:sz w:val="32"/>
          <w:szCs w:val="32"/>
          <w:lang w:val="en-US" w:eastAsia="zh-CN"/>
        </w:rPr>
        <w:t>6个</w:t>
      </w:r>
      <w:r>
        <w:rPr>
          <w:rFonts w:hint="eastAsia" w:ascii="仿宋_GB2312" w:hAnsi="宋体" w:eastAsia="仿宋_GB2312" w:cs="仿宋_GB2312"/>
          <w:sz w:val="32"/>
          <w:szCs w:val="32"/>
        </w:rPr>
        <w:t>所属二级预算单位。编制数为</w:t>
      </w:r>
      <w:r>
        <w:rPr>
          <w:rFonts w:hint="eastAsia" w:ascii="仿宋_GB2312" w:hAnsi="宋体" w:eastAsia="仿宋_GB2312" w:cs="仿宋_GB2312"/>
          <w:sz w:val="32"/>
          <w:szCs w:val="32"/>
          <w:lang w:val="en-US" w:eastAsia="zh-CN"/>
        </w:rPr>
        <w:t>276</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115</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161</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415</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242</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112</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w:t>
      </w:r>
      <w:r>
        <w:rPr>
          <w:rFonts w:hint="eastAsia" w:ascii="仿宋_GB2312" w:hAnsi="宋体" w:eastAsia="仿宋_GB2312" w:cs="仿宋_GB2312"/>
          <w:sz w:val="32"/>
          <w:szCs w:val="32"/>
          <w:lang w:val="en-US" w:eastAsia="zh-CN"/>
        </w:rPr>
        <w:t>5人，</w:t>
      </w:r>
      <w:r>
        <w:rPr>
          <w:rFonts w:hint="eastAsia" w:ascii="仿宋_GB2312" w:hAnsi="宋体" w:eastAsia="仿宋_GB2312" w:cs="仿宋_GB2312"/>
          <w:sz w:val="32"/>
          <w:szCs w:val="32"/>
        </w:rPr>
        <w:t>全额补助事业人员</w:t>
      </w:r>
      <w:r>
        <w:rPr>
          <w:rFonts w:hint="eastAsia" w:ascii="仿宋_GB2312" w:hAnsi="宋体" w:eastAsia="仿宋_GB2312" w:cs="仿宋_GB2312"/>
          <w:sz w:val="32"/>
          <w:szCs w:val="32"/>
          <w:lang w:val="en-US" w:eastAsia="zh-CN"/>
        </w:rPr>
        <w:t>125</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173</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市场监督管理</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年收入预算总额为</w:t>
      </w:r>
      <w:r>
        <w:rPr>
          <w:rFonts w:hint="eastAsia" w:ascii="仿宋_GB2312" w:hAnsi="宋体" w:eastAsia="仿宋_GB2312" w:cs="仿宋_GB2312"/>
          <w:sz w:val="32"/>
          <w:szCs w:val="32"/>
          <w:lang w:val="en-US" w:eastAsia="zh-CN"/>
        </w:rPr>
        <w:t>6457.95</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4.97%</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主要是因为机构改革，一新增景德镇（陶瓷）知识产权快速维权中心及景德镇市商务综合行政执法支队两个下属事业单位，二新增原发改委转隶人员</w:t>
      </w:r>
      <w:r>
        <w:rPr>
          <w:rFonts w:hint="eastAsia" w:ascii="仿宋_GB2312" w:hAnsi="宋体" w:eastAsia="仿宋_GB2312" w:cs="仿宋_GB2312"/>
          <w:sz w:val="32"/>
          <w:szCs w:val="32"/>
          <w:lang w:val="en-US" w:eastAsia="zh-CN"/>
        </w:rPr>
        <w:t>6名；另外市财政改革非税收入拨款比例，增加非税收入拨款</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4501.62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69.71</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60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0.93</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1896.33</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29.36</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年支出预算总额为</w:t>
      </w:r>
      <w:r>
        <w:rPr>
          <w:rFonts w:hint="eastAsia" w:ascii="仿宋_GB2312" w:hAnsi="宋体" w:eastAsia="仿宋_GB2312" w:cs="仿宋_GB2312"/>
          <w:sz w:val="32"/>
          <w:szCs w:val="32"/>
          <w:lang w:val="en-US" w:eastAsia="zh-CN"/>
        </w:rPr>
        <w:t>6457.95</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4.97%</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主要是因为机构改革，一新增景德镇（陶瓷）知识产权快速维权中心及景德镇市商务综合行政执法支队两个下属事业单位，二新增原发改委转隶人员</w:t>
      </w:r>
      <w:r>
        <w:rPr>
          <w:rFonts w:hint="eastAsia" w:ascii="仿宋_GB2312" w:hAnsi="宋体" w:eastAsia="仿宋_GB2312" w:cs="仿宋_GB2312"/>
          <w:sz w:val="32"/>
          <w:szCs w:val="32"/>
          <w:lang w:val="en-US" w:eastAsia="zh-CN"/>
        </w:rPr>
        <w:t>6名；另外按照市里统一布署搬迁办公大楼，增加大楼搬迁等费用</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4618.9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71.52</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4124.16</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449.09</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36.01</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9.64</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1839.05</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28.48</w:t>
      </w:r>
      <w:r>
        <w:rPr>
          <w:rFonts w:ascii="仿宋_GB2312" w:hAnsi="宋体" w:eastAsia="仿宋_GB2312" w:cs="仿宋_GB2312"/>
          <w:sz w:val="32"/>
          <w:szCs w:val="32"/>
        </w:rPr>
        <w:t>%</w:t>
      </w:r>
      <w:r>
        <w:rPr>
          <w:rFonts w:hint="eastAsia" w:ascii="仿宋_GB2312" w:hAnsi="宋体" w:eastAsia="仿宋_GB2312" w:cs="仿宋_GB2312"/>
          <w:sz w:val="32"/>
          <w:szCs w:val="32"/>
        </w:rPr>
        <w:t>，包括商品和服务支出</w:t>
      </w:r>
      <w:r>
        <w:rPr>
          <w:rFonts w:hint="eastAsia" w:ascii="仿宋_GB2312" w:hAnsi="宋体" w:eastAsia="仿宋_GB2312" w:cs="仿宋_GB2312"/>
          <w:sz w:val="32"/>
          <w:szCs w:val="32"/>
          <w:lang w:val="en-US" w:eastAsia="zh-CN"/>
        </w:rPr>
        <w:t>1239.37</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599.68</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5596.97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86.67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275.92万元，占支出预算总额的4.27%；卫生健康支出263.67万元，占支出预算总额的4.08%；住房保障支出321.39万元，占支出预算总额的4.98%。</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4124.16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63.86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1688.46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26.15</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36.01</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0.56</w:t>
      </w:r>
      <w:r>
        <w:rPr>
          <w:rFonts w:ascii="仿宋_GB2312" w:hAnsi="宋体" w:eastAsia="仿宋_GB2312" w:cs="仿宋_GB2312"/>
          <w:sz w:val="32"/>
          <w:szCs w:val="32"/>
        </w:rPr>
        <w:t>%</w:t>
      </w:r>
      <w:r>
        <w:rPr>
          <w:rFonts w:hint="eastAsia" w:ascii="仿宋_GB2312" w:hAnsi="宋体" w:eastAsia="仿宋_GB2312" w:cs="仿宋_GB2312"/>
          <w:sz w:val="32"/>
          <w:szCs w:val="32"/>
        </w:rPr>
        <w:t>；其他资本性支出</w:t>
      </w:r>
      <w:r>
        <w:rPr>
          <w:rFonts w:hint="eastAsia" w:ascii="仿宋_GB2312" w:hAnsi="宋体" w:eastAsia="仿宋_GB2312" w:cs="仿宋_GB2312"/>
          <w:sz w:val="32"/>
          <w:szCs w:val="32"/>
          <w:lang w:val="en-US" w:eastAsia="zh-CN"/>
        </w:rPr>
        <w:t>609.32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9.44</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4501.62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69.71</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12.12%</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主要是因为机构改革，一新增景德镇（陶瓷）知识产权快速维权中心及景德镇市商务综合行政执法支队两个下属事业单位，二新增原发改委转隶人员</w:t>
      </w:r>
      <w:r>
        <w:rPr>
          <w:rFonts w:hint="eastAsia" w:ascii="仿宋_GB2312" w:hAnsi="宋体" w:eastAsia="仿宋_GB2312" w:cs="仿宋_GB2312"/>
          <w:sz w:val="32"/>
          <w:szCs w:val="32"/>
          <w:lang w:val="en-US" w:eastAsia="zh-CN"/>
        </w:rPr>
        <w:t>6名；另外按照市里统一布署搬迁办公大楼，增加大楼搬迁等费用</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一般公共服务支出</w:t>
      </w:r>
      <w:r>
        <w:rPr>
          <w:rFonts w:hint="eastAsia" w:ascii="仿宋_GB2312" w:hAnsi="宋体" w:eastAsia="仿宋_GB2312" w:cs="仿宋_GB2312"/>
          <w:sz w:val="32"/>
          <w:szCs w:val="32"/>
          <w:lang w:val="en-US" w:eastAsia="zh-CN"/>
        </w:rPr>
        <w:t>3711.45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82.45</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262.45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5.83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255.07万元，占财政拨款支出5.67%；住房保障支出272.65万元，占财政拨款支出6.06%。</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年政府采购</w:t>
      </w:r>
      <w:r>
        <w:rPr>
          <w:rFonts w:hint="eastAsia" w:ascii="仿宋_GB2312" w:hAnsi="宋体" w:eastAsia="仿宋_GB2312" w:cs="仿宋_GB2312"/>
          <w:sz w:val="32"/>
          <w:szCs w:val="32"/>
          <w:lang w:eastAsia="zh-CN"/>
        </w:rPr>
        <w:t>预算为</w:t>
      </w:r>
      <w:r>
        <w:rPr>
          <w:rFonts w:hint="eastAsia" w:ascii="仿宋_GB2312" w:hAnsi="宋体" w:eastAsia="仿宋_GB2312" w:cs="仿宋_GB2312"/>
          <w:sz w:val="32"/>
          <w:szCs w:val="32"/>
          <w:lang w:val="en-US" w:eastAsia="zh-CN"/>
        </w:rPr>
        <w:t>1155.32</w:t>
      </w:r>
      <w:r>
        <w:rPr>
          <w:rFonts w:hint="eastAsia" w:ascii="仿宋_GB2312" w:hAnsi="宋体" w:eastAsia="仿宋_GB2312" w:cs="仿宋_GB2312"/>
          <w:sz w:val="32"/>
          <w:szCs w:val="32"/>
        </w:rPr>
        <w:t>万元，其中：</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rPr>
        <w:t>集中采购安排</w:t>
      </w:r>
      <w:r>
        <w:rPr>
          <w:rFonts w:hint="eastAsia" w:ascii="仿宋_GB2312" w:eastAsia="仿宋_GB2312"/>
          <w:sz w:val="32"/>
          <w:szCs w:val="32"/>
          <w:lang w:val="en-US" w:eastAsia="zh-CN"/>
        </w:rPr>
        <w:t>1155.32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政府购买服务安排</w:t>
      </w:r>
      <w:r>
        <w:rPr>
          <w:rFonts w:hint="eastAsia" w:ascii="仿宋_GB2312" w:eastAsia="仿宋_GB2312"/>
          <w:sz w:val="32"/>
          <w:szCs w:val="32"/>
          <w:lang w:val="en-US" w:eastAsia="zh-CN"/>
        </w:rPr>
        <w:t>288.86</w:t>
      </w:r>
      <w:r>
        <w:rPr>
          <w:rFonts w:hint="eastAsia" w:ascii="仿宋_GB2312" w:eastAsia="仿宋_GB2312"/>
          <w:sz w:val="32"/>
          <w:szCs w:val="32"/>
        </w:rPr>
        <w:t>万元，与上年预算相比</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758.72万元，增加比例191.31</w:t>
      </w:r>
      <w:r>
        <w:rPr>
          <w:rFonts w:hint="eastAsia" w:ascii="仿宋_GB2312" w:hAnsi="宋体" w:eastAsia="仿宋_GB2312" w:cs="仿宋_GB2312"/>
          <w:sz w:val="32"/>
          <w:szCs w:val="32"/>
        </w:rPr>
        <w:t>%，主要是由于</w:t>
      </w:r>
      <w:r>
        <w:rPr>
          <w:rFonts w:hint="eastAsia" w:ascii="仿宋_GB2312" w:hAnsi="宋体" w:eastAsia="仿宋_GB2312" w:cs="仿宋_GB2312"/>
          <w:sz w:val="32"/>
          <w:szCs w:val="32"/>
          <w:lang w:val="en-US" w:eastAsia="zh-CN"/>
        </w:rPr>
        <w:t>按照市里统一布署搬迁办公大楼，增加大楼搬迁、设备更新等费用</w:t>
      </w:r>
      <w:r>
        <w:rPr>
          <w:rFonts w:hint="eastAsia" w:ascii="仿宋_GB2312" w:hAnsi="宋体" w:eastAsia="仿宋_GB2312" w:cs="仿宋_GB2312"/>
          <w:sz w:val="32"/>
          <w:szCs w:val="32"/>
        </w:rPr>
        <w:t>。</w:t>
      </w:r>
    </w:p>
    <w:p>
      <w:pPr>
        <w:ind w:firstLine="643" w:firstLineChars="200"/>
        <w:rPr>
          <w:rFonts w:ascii="仿宋_GB2312" w:eastAsia="仿宋_GB2312" w:cs="Times New Roman"/>
          <w:b/>
          <w:bCs/>
          <w:sz w:val="32"/>
          <w:szCs w:val="32"/>
        </w:rPr>
      </w:pPr>
      <w:bookmarkStart w:id="0" w:name="_GoBack"/>
      <w:bookmarkEnd w:id="0"/>
      <w:r>
        <w:rPr>
          <w:rFonts w:hint="eastAsia" w:ascii="仿宋_GB2312" w:hAnsi="宋体" w:eastAsia="仿宋_GB2312" w:cs="仿宋_GB2312"/>
          <w:b/>
          <w:bCs/>
          <w:sz w:val="32"/>
          <w:szCs w:val="32"/>
        </w:rPr>
        <w:t>（五）政府基金收支情况</w:t>
      </w:r>
    </w:p>
    <w:p>
      <w:pPr>
        <w:tabs>
          <w:tab w:val="left" w:pos="1113"/>
        </w:tabs>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年“三公”经费年初预算安排</w:t>
      </w:r>
      <w:r>
        <w:rPr>
          <w:rFonts w:hint="eastAsia" w:ascii="仿宋_GB2312" w:hAnsi="宋体" w:eastAsia="仿宋_GB2312" w:cs="仿宋_GB2312"/>
          <w:sz w:val="32"/>
          <w:szCs w:val="32"/>
          <w:lang w:val="en-US" w:eastAsia="zh-CN"/>
        </w:rPr>
        <w:t>119.32</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与上年持平</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22.8</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eastAsia="zh-CN"/>
        </w:rPr>
        <w:t>长</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机构改革，新增景德镇（陶瓷）知识产权快速维权中心及景德镇市商务综合行政执法支队两个下属事业单位</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96.52</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0.74</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eastAsia="zh-CN"/>
        </w:rPr>
        <w:t>厉行节约</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与上年持平</w:t>
      </w:r>
      <w:r>
        <w:rPr>
          <w:rFonts w:hint="eastAsia" w:ascii="仿宋_GB2312" w:hAnsi="宋体" w:eastAsia="仿宋_GB2312" w:cs="仿宋_GB2312"/>
          <w:sz w:val="32"/>
          <w:szCs w:val="32"/>
        </w:rPr>
        <w:t>。</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市场监督管理</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hint="default" w:ascii="仿宋_GB2312" w:eastAsia="仿宋_GB2312"/>
          <w:b w:val="0"/>
          <w:bCs w:val="0"/>
          <w:color w:val="000000"/>
          <w:sz w:val="32"/>
          <w:szCs w:val="30"/>
          <w:lang w:val="en-US" w:eastAsia="zh-CN"/>
        </w:rPr>
      </w:pPr>
      <w:r>
        <w:rPr>
          <w:rFonts w:hint="eastAsia" w:ascii="仿宋_GB2312" w:eastAsia="仿宋_GB2312"/>
          <w:b w:val="0"/>
          <w:bCs w:val="0"/>
          <w:color w:val="000000"/>
          <w:sz w:val="32"/>
          <w:szCs w:val="30"/>
          <w:lang w:eastAsia="zh-CN"/>
        </w:rPr>
        <w:t>市场监督管理事务：反映市场监督管理事务方面（包括工商管理、质量技术监督、药品、医疗器械、化妆品等）的支出</w:t>
      </w:r>
    </w:p>
    <w:p>
      <w:pPr>
        <w:numPr>
          <w:ilvl w:val="0"/>
          <w:numId w:val="2"/>
        </w:numPr>
        <w:ind w:firstLine="640" w:firstLineChars="200"/>
        <w:rPr>
          <w:rFonts w:hint="eastAsia" w:ascii="仿宋_GB2312" w:hAnsi="宋体" w:eastAsia="仿宋_GB2312" w:cs="仿宋_GB2312"/>
          <w:sz w:val="32"/>
          <w:szCs w:val="32"/>
          <w:lang w:val="en-US" w:eastAsia="zh-CN"/>
        </w:rPr>
      </w:pPr>
      <w:r>
        <w:rPr>
          <w:rFonts w:hint="eastAsia" w:ascii="仿宋_GB2312" w:eastAsia="仿宋_GB2312"/>
          <w:color w:val="000000"/>
          <w:sz w:val="32"/>
          <w:szCs w:val="30"/>
          <w:lang w:eastAsia="zh-CN"/>
        </w:rPr>
        <w:t>行政运行：反映行政单位（包括实行公务员管理的事业单位）的基本支出。</w:t>
      </w:r>
    </w:p>
    <w:p>
      <w:pPr>
        <w:numPr>
          <w:ilvl w:val="0"/>
          <w:numId w:val="2"/>
        </w:num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派驻派出机构：反映由纪检监察部门派驻本部门纪检监察人员的专项业务支出。 </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三）行政单位医疗：反映财政部门安排的行政单位（包括实行公务员管理的事业单位）基本医疗保险缴费经费，未参加医疗保险的行政单位的公费医疗经费，按国家规定享受离休人员、红军老战士待遇人员的医疗经费。</w:t>
      </w:r>
    </w:p>
    <w:p>
      <w:pPr>
        <w:ind w:firstLine="562"/>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（四）公务员医疗补助：反映财政部门安排的公务员医疗补助经费。</w:t>
      </w:r>
    </w:p>
    <w:p>
      <w:pPr>
        <w:ind w:firstLine="562"/>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（五）其他行政事业单位医疗支出：反映除上述项目安排以外的其他用于行政事业单位医疗方面的支出。</w:t>
      </w:r>
    </w:p>
    <w:p>
      <w:pPr>
        <w:ind w:firstLine="562"/>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（六）住房公积金：反映行政事业单位按人力资源和社会保障部、财政部规定的基本工资和津贴补贴以及规定比例为职工缴纳的住房公积金。</w:t>
      </w:r>
    </w:p>
    <w:p>
      <w:pPr>
        <w:ind w:firstLine="562"/>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（七）机关事业单位基本养老保险缴费支出：反映市场监督管理部门实施养老保险制度由单位缴纳的基本养老保险费支出。</w:t>
      </w:r>
    </w:p>
    <w:p>
      <w:pPr>
        <w:ind w:firstLine="562"/>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（八）一般行政管理事务：反映行政单位（包括实行公务员管理的事业单位）未单独设置项级科目的其他项目支出。</w:t>
      </w:r>
      <w:r>
        <w:rPr>
          <w:rFonts w:hint="eastAsia" w:ascii="仿宋_GB2312" w:hAnsi="宋体" w:eastAsia="仿宋_GB2312" w:cs="仿宋_GB2312"/>
          <w:sz w:val="32"/>
          <w:szCs w:val="32"/>
          <w:lang w:val="en-US" w:eastAsia="zh-CN"/>
        </w:rPr>
        <w:t xml:space="preserve"> </w:t>
      </w:r>
    </w:p>
    <w:p>
      <w:pPr>
        <w:ind w:firstLine="562"/>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（九）市场主体管理：反映市场准入、许可审批、信用监管等市场主体管理专项工作支出。</w:t>
      </w:r>
      <w:r>
        <w:rPr>
          <w:rFonts w:hint="eastAsia" w:ascii="仿宋_GB2312" w:hAnsi="宋体" w:eastAsia="仿宋_GB2312" w:cs="仿宋_GB2312"/>
          <w:sz w:val="32"/>
          <w:szCs w:val="32"/>
          <w:lang w:val="en-US" w:eastAsia="zh-CN"/>
        </w:rPr>
        <w:t xml:space="preserve"> </w:t>
      </w:r>
    </w:p>
    <w:p>
      <w:pPr>
        <w:ind w:firstLine="562"/>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（十）质量安全监管：反映产品质量安全监管、特种设备安全监管等质量监管专项工作支出。</w:t>
      </w:r>
      <w:r>
        <w:rPr>
          <w:rFonts w:hint="eastAsia" w:ascii="仿宋_GB2312" w:hAnsi="宋体" w:eastAsia="仿宋_GB2312" w:cs="仿宋_GB2312"/>
          <w:sz w:val="32"/>
          <w:szCs w:val="32"/>
          <w:lang w:val="en-US" w:eastAsia="zh-CN"/>
        </w:rPr>
        <w:t xml:space="preserve"> </w:t>
      </w:r>
    </w:p>
    <w:p>
      <w:pPr>
        <w:ind w:firstLine="562"/>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（十一）食品安全监管：反映食品安全监管等专项工作支出。</w:t>
      </w:r>
      <w:r>
        <w:rPr>
          <w:rFonts w:hint="eastAsia" w:ascii="仿宋_GB2312" w:hAnsi="宋体" w:eastAsia="仿宋_GB2312" w:cs="仿宋_GB2312"/>
          <w:sz w:val="32"/>
          <w:szCs w:val="32"/>
          <w:lang w:val="en-US" w:eastAsia="zh-CN"/>
        </w:rPr>
        <w:t xml:space="preserve"> </w:t>
      </w:r>
    </w:p>
    <w:p>
      <w:pPr>
        <w:ind w:firstLine="562"/>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（十二）市场秩序执法：反映反垄断、价格监督、反不正当竞争、规范直销与打击传销、网络交易监管、广告监管、消费者权益保护、综合执法等市场秩序执法专项工作支出。</w:t>
      </w:r>
      <w:r>
        <w:rPr>
          <w:rFonts w:hint="eastAsia" w:ascii="仿宋_GB2312" w:hAnsi="宋体" w:eastAsia="仿宋_GB2312" w:cs="仿宋_GB2312"/>
          <w:sz w:val="32"/>
          <w:szCs w:val="32"/>
          <w:lang w:val="en-US" w:eastAsia="zh-CN"/>
        </w:rPr>
        <w:t xml:space="preserve"> </w:t>
      </w:r>
    </w:p>
    <w:p>
      <w:pPr>
        <w:ind w:firstLine="562"/>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（十三）</w:t>
      </w:r>
      <w:r>
        <w:rPr>
          <w:rFonts w:hint="eastAsia" w:ascii="仿宋_GB2312" w:hAnsi="宋体" w:eastAsia="仿宋_GB2312" w:cs="仿宋_GB2312"/>
          <w:sz w:val="32"/>
          <w:szCs w:val="32"/>
          <w:lang w:val="en-US" w:eastAsia="zh-CN"/>
        </w:rPr>
        <w:t xml:space="preserve"> </w:t>
      </w:r>
      <w:r>
        <w:rPr>
          <w:rFonts w:hint="eastAsia" w:ascii="仿宋_GB2312" w:hAnsi="宋体" w:eastAsia="仿宋_GB2312" w:cs="仿宋_GB2312"/>
          <w:sz w:val="32"/>
          <w:szCs w:val="32"/>
          <w:lang w:eastAsia="zh-CN"/>
        </w:rPr>
        <w:t>其他市场监督管理事务：反映用于除上述项目以外其他市场监督管理事务方面的支出。</w:t>
      </w:r>
    </w:p>
    <w:p>
      <w:pPr>
        <w:ind w:firstLine="640" w:firstLineChars="200"/>
        <w:rPr>
          <w:rFonts w:hint="eastAsia" w:ascii="仿宋_GB2312" w:hAnsi="宋体" w:eastAsia="仿宋_GB2312" w:cs="仿宋_GB2312"/>
          <w:sz w:val="32"/>
          <w:szCs w:val="32"/>
          <w:lang w:eastAsia="zh-CN"/>
        </w:rPr>
      </w:pPr>
    </w:p>
    <w:p>
      <w:pPr>
        <w:numPr>
          <w:numId w:val="0"/>
        </w:numPr>
        <w:rPr>
          <w:rFonts w:hint="eastAsia" w:ascii="仿宋_GB2312" w:hAnsi="宋体" w:eastAsia="仿宋_GB2312" w:cs="仿宋_GB2312"/>
          <w:sz w:val="32"/>
          <w:szCs w:val="32"/>
          <w:lang w:val="en-US" w:eastAsia="zh-CN"/>
        </w:rPr>
      </w:pPr>
    </w:p>
    <w:p>
      <w:pPr>
        <w:numPr>
          <w:numId w:val="0"/>
        </w:numPr>
        <w:rPr>
          <w:rFonts w:hint="eastAsia" w:ascii="仿宋_GB2312" w:eastAsia="仿宋_GB2312"/>
          <w:color w:val="000000"/>
          <w:sz w:val="32"/>
          <w:szCs w:val="32"/>
          <w:lang w:eastAsia="zh-CN"/>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961D52"/>
    <w:multiLevelType w:val="singleLevel"/>
    <w:tmpl w:val="D6961D52"/>
    <w:lvl w:ilvl="0" w:tentative="0">
      <w:start w:val="1"/>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214F1C"/>
    <w:rsid w:val="008110CC"/>
    <w:rsid w:val="00C04C9A"/>
    <w:rsid w:val="00CB427A"/>
    <w:rsid w:val="00F500B9"/>
    <w:rsid w:val="01992CBB"/>
    <w:rsid w:val="022502CD"/>
    <w:rsid w:val="056B2766"/>
    <w:rsid w:val="05EB1609"/>
    <w:rsid w:val="08EE0B31"/>
    <w:rsid w:val="08EE2244"/>
    <w:rsid w:val="0A326819"/>
    <w:rsid w:val="0C553799"/>
    <w:rsid w:val="0CBF216E"/>
    <w:rsid w:val="0D454A73"/>
    <w:rsid w:val="0FCB58D0"/>
    <w:rsid w:val="11427CB1"/>
    <w:rsid w:val="11DA56A9"/>
    <w:rsid w:val="12B9063E"/>
    <w:rsid w:val="139E3D52"/>
    <w:rsid w:val="152D3E0B"/>
    <w:rsid w:val="162B4B72"/>
    <w:rsid w:val="18AC060B"/>
    <w:rsid w:val="19076E1D"/>
    <w:rsid w:val="19564663"/>
    <w:rsid w:val="1A66507D"/>
    <w:rsid w:val="1A7B3A6D"/>
    <w:rsid w:val="1BD903CB"/>
    <w:rsid w:val="1DB7564C"/>
    <w:rsid w:val="1E932940"/>
    <w:rsid w:val="1EBD751D"/>
    <w:rsid w:val="1F117155"/>
    <w:rsid w:val="204B45CE"/>
    <w:rsid w:val="20961803"/>
    <w:rsid w:val="20E07A42"/>
    <w:rsid w:val="226C6020"/>
    <w:rsid w:val="25705B71"/>
    <w:rsid w:val="257B0C7A"/>
    <w:rsid w:val="2A2A5713"/>
    <w:rsid w:val="2C437030"/>
    <w:rsid w:val="2C6A08E2"/>
    <w:rsid w:val="2D4F2EA5"/>
    <w:rsid w:val="2DBB222D"/>
    <w:rsid w:val="2FD241C0"/>
    <w:rsid w:val="30E83449"/>
    <w:rsid w:val="31D40AAE"/>
    <w:rsid w:val="359E05E0"/>
    <w:rsid w:val="36B03A25"/>
    <w:rsid w:val="396800EF"/>
    <w:rsid w:val="3A6C5770"/>
    <w:rsid w:val="3BD871B8"/>
    <w:rsid w:val="3CF55A87"/>
    <w:rsid w:val="40395CB2"/>
    <w:rsid w:val="42271659"/>
    <w:rsid w:val="429A727D"/>
    <w:rsid w:val="44582E07"/>
    <w:rsid w:val="44B5734B"/>
    <w:rsid w:val="47C86CB3"/>
    <w:rsid w:val="47D04856"/>
    <w:rsid w:val="491C55AF"/>
    <w:rsid w:val="4ACE402A"/>
    <w:rsid w:val="4C0B7195"/>
    <w:rsid w:val="4C223FC3"/>
    <w:rsid w:val="4D3B293C"/>
    <w:rsid w:val="511C1EF4"/>
    <w:rsid w:val="51B40312"/>
    <w:rsid w:val="577462B2"/>
    <w:rsid w:val="57CC144D"/>
    <w:rsid w:val="5C012B70"/>
    <w:rsid w:val="5E231E06"/>
    <w:rsid w:val="60871084"/>
    <w:rsid w:val="61F32950"/>
    <w:rsid w:val="62B20F12"/>
    <w:rsid w:val="641E7445"/>
    <w:rsid w:val="686F3A4C"/>
    <w:rsid w:val="6B77511D"/>
    <w:rsid w:val="6B875451"/>
    <w:rsid w:val="704C11DF"/>
    <w:rsid w:val="71452C49"/>
    <w:rsid w:val="719E0897"/>
    <w:rsid w:val="73224148"/>
    <w:rsid w:val="758435A6"/>
    <w:rsid w:val="776E35B0"/>
    <w:rsid w:val="79C75BD6"/>
    <w:rsid w:val="7B4102B0"/>
    <w:rsid w:val="7B9F0234"/>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dcterms:modified xsi:type="dcterms:W3CDTF">2020-06-01T07:45:17Z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